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E74932" w:rsidRDefault="003F6B72" w:rsidP="00E74932">
      <w:r w:rsidRPr="003F6B72">
        <w:t>Определение состава мероприятий по охране окружающей среды и распределение экологической ответственности, часть 1</w:t>
      </w:r>
    </w:p>
    <w:p w:rsidR="007A543D" w:rsidRDefault="003F6B72" w:rsidP="00801A1F">
      <w:r w:rsidRPr="003F6B72">
        <w:t>В представленной документации (включая сметы, ведомости объемов работ и проект договора) отсутствует описание конкретных мероприятий, направленных на соблюдение природоохранного законодательства при выполнении работ.</w:t>
      </w:r>
      <w:r w:rsidRPr="003F6B72">
        <w:br/>
        <w:t>Согласно пункту 1.2 Проекта договора и пункту 4.3 Документации о закупке, подрядчик обязуется соблюдать требования строительных норм и правил. Однако при этом остаются нераскрытыми следующие аспекты, имеющие для участников высокую финансовую и репутационную значимость:</w:t>
      </w:r>
      <w:r w:rsidRPr="003F6B72">
        <w:br/>
        <w:t>1. По обращению с отходами производства:</w:t>
      </w:r>
      <w:r w:rsidRPr="003F6B72">
        <w:br/>
        <w:t xml:space="preserve">Ведомостями объемов работ предусмотрена очистка металлоконструкций </w:t>
      </w:r>
      <w:proofErr w:type="gramStart"/>
      <w:r w:rsidRPr="003F6B72">
        <w:t>шлаком</w:t>
      </w:r>
      <w:proofErr w:type="gramEnd"/>
      <w:r w:rsidRPr="003F6B72">
        <w:t xml:space="preserve"> гранулированным в объемах 31104 кг (СПМ-1,2) и 38966,4 кг (Ста́кер-1). Использованный абразив смешивается с остатками старой краски, содержащей, по данным из открытых источников, потенциально тяжелые металлы.</w:t>
      </w:r>
      <w:r w:rsidRPr="003F6B72">
        <w:br/>
        <w:t>1.1. Каков класс опасности отходов, образующихся при очистке шлаком (отработанный абразив с примесями ЛКМ) согласно Федеральному классификационному каталогу отходов (ФККО)?.</w:t>
      </w:r>
      <w:r w:rsidRPr="003F6B72">
        <w:br/>
        <w:t>1.2. Каким конкретным документом подтверждается право подрядчика (или привлекаемого им субподрядчика) на сбор, транспортировку, обработку, утилизацию или размещение данных отходов (лицензия Росприроднадзора)?</w:t>
      </w:r>
      <w:r w:rsidRPr="003F6B72">
        <w:br/>
        <w:t>1.3. Почему в локальных сметных расчетах отсутствуют расценки на сбор, временное хранение, погрузку и вывоз отходов, а также на проведение лабораторного анализа их состава?</w:t>
      </w:r>
      <w:r w:rsidRPr="003F6B72">
        <w:br/>
        <w:t>1.4. Каким образом в сметах учтены затраты на утилизацию отходов эпоксидных и полиуретановых ЛКМ, слив которых в канализацию и на почву прямо запрещен?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3F6B72" w:rsidP="00E83AD3">
      <w:pPr>
        <w:jc w:val="both"/>
      </w:pPr>
      <w:r w:rsidRPr="003F6B72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 Затраты на выполнение мероприятий по охране окружающей среды при производстве антикоррозионной окраски механизмов (уборка рабочей зоны, сбор и вывоз отходов лакокрасочных материалов, предотвращение попадания загрязнителей на грунт и акваторию, соблюдение санитарных норм) учтены в составе накладных расходов подрядчика согласно п.13 Приказ Минстроя РФ от 21.12.2020 N 812/ПР . Отдельное включение данных затрат в локальный сметный расчет не требуется и противоречит действующим методикам ценообразования.</w:t>
      </w:r>
      <w:bookmarkStart w:id="0" w:name="_GoBack"/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</w:t>
      </w:r>
      <w:r w:rsidR="003F6B72">
        <w:t>42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62B63"/>
    <w:rsid w:val="00E72DFB"/>
    <w:rsid w:val="00E74932"/>
    <w:rsid w:val="00E76981"/>
    <w:rsid w:val="00E83AD3"/>
    <w:rsid w:val="00EA26CC"/>
    <w:rsid w:val="00EC0BB5"/>
    <w:rsid w:val="00EE5CC8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DF7D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2026-05-26T05:03:00Z</dcterms:created>
  <dcterms:modified xsi:type="dcterms:W3CDTF">2026-05-26T05:07:00Z</dcterms:modified>
</cp:coreProperties>
</file>