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4C7DF9" w:rsidRDefault="00EC2B2E" w:rsidP="00801A1F">
      <w:r w:rsidRPr="00EC2B2E">
        <w:t>Определение состава мероприятий по охране окружающей среды и распределение экологической ответственности, Часть 3</w:t>
      </w:r>
    </w:p>
    <w:p w:rsidR="007A543D" w:rsidRDefault="00EC2B2E" w:rsidP="00801A1F">
      <w:r w:rsidRPr="00EC2B2E">
        <w:t>3. По экологическому контролю и ответственности:</w:t>
      </w:r>
      <w:r w:rsidRPr="00EC2B2E">
        <w:br/>
        <w:t>3.1. На основании статьи 751 Гражданского кодекса РФ и п. 10.9 Проекта договора подрядчик несет ответственность за нарушения природоохранного законодательства. Однако прямо не урегулирован порядок, если такие нарушения повлекут наложение штрафа на Заказчика (как на владельца объекта). В проекте договора содержится лишь пункт 10.11 о штрафе в двукратном размере. Прошу разъяснить, какой механизм возмещения предусмотрен, если сумма штрафа превышает размер обеспечения по договору.</w:t>
      </w:r>
      <w:r w:rsidRPr="00EC2B2E">
        <w:br/>
        <w:t>3.2. Каким образом Заказчик намерен осуществлять экологический аудит работ и контроль за вывозом отходов, как того требуют положения СП 48.13330.2019 и внутренние требования АО «Восточный Порт»?</w:t>
      </w:r>
      <w:r w:rsidRPr="00EC2B2E">
        <w:br/>
        <w:t>3.3. Прошу представить конкретный перечень и формы исполнительной документации по экологической безопасности, которую необходимо будет подготовить подрядчику, включая:</w:t>
      </w:r>
      <w:r w:rsidRPr="00EC2B2E">
        <w:br/>
        <w:t>акты на передачу отходов лицензированным организациям;</w:t>
      </w:r>
      <w:r w:rsidRPr="00EC2B2E">
        <w:br/>
        <w:t>результаты инструментальных замеров состояния атмосферного воздуха в рабочей зоне и на границе СЗЗ;</w:t>
      </w:r>
      <w:r w:rsidRPr="00EC2B2E">
        <w:br/>
        <w:t>документы, подтверждающие соответствие применяемых ЛКМ экологическим требованиям Технического регламента ЕАЭС.</w:t>
      </w:r>
      <w:r w:rsidRPr="00EC2B2E">
        <w:br/>
        <w:t>Предоставление запрашиваемой информации критически необходимо для объективной оценки затрат на реализацию природоохранных мероприятий, которые в случае их игнорирования будут взысканы с подрядчика в претензионном и судебном порядке, а также для предотвращения административной и гражданско-правовой ответственности сторон.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E55F8E" w:rsidP="00E55F8E">
      <w:pPr>
        <w:jc w:val="both"/>
      </w:pPr>
      <w:bookmarkStart w:id="0" w:name="_GoBack"/>
      <w:r w:rsidRPr="00E55F8E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  <w:r>
        <w:t xml:space="preserve"> </w:t>
      </w:r>
      <w:r w:rsidRPr="00E55F8E">
        <w:t>Затраты на выполнение мероприятий по охране окружающей среды при производстве антикоррозионной окраски механизмов (уборка рабочей зоны, сбор и вывоз отходов лакокрасочных материалов, предотвращение попадания загрязнителей на грунт и акваторию, соблюдение санитарных норм) учтены в составе накладных расходов подрядчика согласно п.13 Приказ Минстроя РФ от 21.12.2020 N 812/ПР . Отдельное включение данных затрат в локальный сметный расчет не требуется и противоречит действующим методикам ценообразования.</w:t>
      </w:r>
      <w:bookmarkEnd w:id="0"/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01:</w:t>
      </w:r>
      <w:r w:rsidR="003F6B72">
        <w:t>4</w:t>
      </w:r>
      <w:r w:rsidR="00EC2B2E">
        <w:t>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64A97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7A543D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55F8E"/>
    <w:rsid w:val="00E62B63"/>
    <w:rsid w:val="00E72DFB"/>
    <w:rsid w:val="00E74932"/>
    <w:rsid w:val="00E76981"/>
    <w:rsid w:val="00E83AD3"/>
    <w:rsid w:val="00EA26CC"/>
    <w:rsid w:val="00EC0BB5"/>
    <w:rsid w:val="00EC2B2E"/>
    <w:rsid w:val="00EE5CC8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32B1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4</cp:revision>
  <dcterms:created xsi:type="dcterms:W3CDTF">2026-05-26T05:18:00Z</dcterms:created>
  <dcterms:modified xsi:type="dcterms:W3CDTF">2026-05-26T05:20:00Z</dcterms:modified>
</cp:coreProperties>
</file>